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A51872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2DF5C94B" w:rsidR="00C72BB7" w:rsidRPr="00A51872" w:rsidRDefault="001C6EBD">
            <w:r>
              <w:rPr>
                <w:b/>
              </w:rPr>
              <w:t>Sessão 10: Saúde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A51872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A51872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5AFD" w14:textId="53B21A39" w:rsidR="00134202" w:rsidRPr="00A51872" w:rsidRDefault="007217EB" w:rsidP="007217EB">
            <w:r>
              <w:rPr>
                <w:b/>
              </w:rPr>
              <w:t>Nota:</w:t>
            </w:r>
            <w:r>
              <w:t xml:space="preserve"> Esta sessão baseia-se principalmente </w:t>
            </w:r>
            <w:r w:rsidR="001B5083">
              <w:t>em</w:t>
            </w:r>
            <w:r>
              <w:t xml:space="preserve"> conhecimentos (explicando as categorias e objetivos das normas e indicadores de saúde e fornecendo o contexto para os mesmos). É parcialmente orientada para a atitude (aumentando a consciência da importância de ligar outros programas setoriais à programação da saúde), e parcialmente orientada para as competências na análise da aplicação do exercício da lista de verificação para avaliação da saúde.</w:t>
            </w:r>
          </w:p>
          <w:p w14:paraId="20309AC7" w14:textId="77777777" w:rsidR="00134202" w:rsidRPr="00E40A7E" w:rsidRDefault="00134202" w:rsidP="007217EB"/>
          <w:p w14:paraId="7387723F" w14:textId="513BA274" w:rsidR="007217EB" w:rsidRPr="00A51872" w:rsidRDefault="007217EB" w:rsidP="007217EB">
            <w:r>
              <w:t>A sessão inclui:</w:t>
            </w:r>
          </w:p>
          <w:p w14:paraId="0792E4D8" w14:textId="02B58F81" w:rsidR="000E411F" w:rsidRDefault="007217EB" w:rsidP="000E411F">
            <w:r>
              <w:t xml:space="preserve">1. </w:t>
            </w:r>
            <w:r w:rsidR="000E411F">
              <w:t xml:space="preserve">Uma </w:t>
            </w:r>
            <w:r w:rsidR="000E411F">
              <w:rPr>
                <w:b/>
                <w:bCs/>
              </w:rPr>
              <w:t>apresentação em PowerPoint</w:t>
            </w:r>
            <w:r w:rsidR="000E411F">
              <w:t xml:space="preserve"> - com notas do formador na Vis</w:t>
            </w:r>
            <w:r w:rsidR="009A1C6E">
              <w:t>ta</w:t>
            </w:r>
            <w:r w:rsidR="000E411F">
              <w:t xml:space="preserve"> de Notas”, que explicam os temas-chave nos diapositivos e </w:t>
            </w:r>
            <w:r w:rsidR="009A1C6E">
              <w:t>apresentam</w:t>
            </w:r>
            <w:r w:rsidR="000E411F">
              <w:t>instruções para as atividades e a sua avaliação.</w:t>
            </w:r>
          </w:p>
          <w:p w14:paraId="021D2A6E" w14:textId="5083D507" w:rsidR="003329CB" w:rsidRDefault="00B427CD" w:rsidP="001B5083">
            <w:r>
              <w:t xml:space="preserve">2. </w:t>
            </w:r>
            <w:r>
              <w:rPr>
                <w:b/>
                <w:bCs/>
              </w:rPr>
              <w:t>Um pequeno vídeo</w:t>
            </w:r>
            <w:r>
              <w:t xml:space="preserve"> </w:t>
            </w:r>
            <w:r>
              <w:rPr>
                <w:b/>
                <w:bCs/>
              </w:rPr>
              <w:t xml:space="preserve">com um exercício </w:t>
            </w:r>
            <w:r w:rsidR="001B5083">
              <w:rPr>
                <w:b/>
                <w:bCs/>
              </w:rPr>
              <w:t>simples</w:t>
            </w:r>
            <w:r w:rsidR="009A1C6E">
              <w:rPr>
                <w:b/>
                <w:bCs/>
              </w:rPr>
              <w:t>,</w:t>
            </w:r>
            <w:r w:rsidR="001B50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orientado para a avaliação</w:t>
            </w:r>
            <w:r w:rsidR="009A1C6E">
              <w:rPr>
                <w:b/>
                <w:bCs/>
              </w:rPr>
              <w:t>,</w:t>
            </w:r>
            <w:r>
              <w:t xml:space="preserve"> retrata vários elementos de um programa de saúde implementado no Uganda. Os participantes devem ler a lista de verificação para avaliação da saúde da Esfera, assistir ao vídeo, avaliar o que viram e ouviram</w:t>
            </w:r>
            <w:r w:rsidR="001B5083">
              <w:t xml:space="preserve"> </w:t>
            </w:r>
            <w:r>
              <w:t>e apontar quais os elementos da lista de verificação que foram claramente abrangidos</w:t>
            </w:r>
            <w:r w:rsidR="009A1C6E">
              <w:t>,</w:t>
            </w:r>
            <w:r>
              <w:t xml:space="preserve"> e quais os que podem não ter sido. Por último, devem abordar os desafios para completar toda a lista de verificação para avaliação.</w:t>
            </w:r>
          </w:p>
          <w:p w14:paraId="0E1F9446" w14:textId="4B7C7EE6" w:rsidR="00171E55" w:rsidRPr="00E40A7E" w:rsidRDefault="00171E55" w:rsidP="00171E55"/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71DE" w14:textId="77777777" w:rsidR="001C73F6" w:rsidRPr="00E40A7E" w:rsidRDefault="001C73F6" w:rsidP="007217EB"/>
          <w:p w14:paraId="2D811200" w14:textId="30F440FA" w:rsidR="007217EB" w:rsidRPr="00A51872" w:rsidRDefault="007217EB" w:rsidP="007217EB">
            <w:r>
              <w:rPr>
                <w:noProof/>
              </w:rPr>
              <w:drawing>
                <wp:inline distT="0" distB="0" distL="0" distR="0" wp14:anchorId="082D8F3D" wp14:editId="3D2E0EB2">
                  <wp:extent cx="1704975" cy="21431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46BDE2A9" w14:textId="77777777" w:rsidR="00D6040B" w:rsidRPr="00A51872" w:rsidRDefault="00D6040B" w:rsidP="007217EB">
            <w:pPr>
              <w:rPr>
                <w:lang w:val="en-GB"/>
              </w:rPr>
            </w:pPr>
          </w:p>
          <w:p w14:paraId="6C87EB16" w14:textId="02064351" w:rsidR="00D6040B" w:rsidRPr="00A51872" w:rsidRDefault="00D6040B" w:rsidP="007217EB">
            <w:r>
              <w:t xml:space="preserve">Esta sessão inclui um rápido estudo de caso centrado na fase de </w:t>
            </w:r>
            <w:r>
              <w:rPr>
                <w:b/>
                <w:bCs/>
              </w:rPr>
              <w:t>avaliação</w:t>
            </w:r>
            <w:r>
              <w:t xml:space="preserve"> do ciclo do programa humanitário.</w:t>
            </w:r>
          </w:p>
        </w:tc>
      </w:tr>
      <w:tr w:rsidR="007217EB" w:rsidRPr="001B5083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0CDA" w14:textId="4E196E04" w:rsidR="00A734F6" w:rsidRDefault="007217EB" w:rsidP="00A734F6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1B2A7466" w:rsidR="007217EB" w:rsidRPr="00A734F6" w:rsidRDefault="007217EB" w:rsidP="00A734F6">
            <w:pPr>
              <w:rPr>
                <w:b/>
              </w:rPr>
            </w:pPr>
            <w:r>
              <w:t>No final desta sessão, os participantes serão capazes de:</w:t>
            </w:r>
          </w:p>
          <w:p w14:paraId="55F09F4E" w14:textId="7E335240" w:rsidR="001E6E02" w:rsidRPr="001E6E02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Explicar a orientação geral e os objetivos de um programa de resposta humanitária em matéria de saúde</w:t>
            </w:r>
          </w:p>
          <w:p w14:paraId="0B1C6142" w14:textId="77777777" w:rsidR="001E6E02" w:rsidRPr="001E6E02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Definir o âmbito das normas da Esfera em matéria de saúde</w:t>
            </w:r>
          </w:p>
          <w:p w14:paraId="5ACBE65C" w14:textId="77777777" w:rsidR="001E6E02" w:rsidRPr="001E6E02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Calcular a taxa de mortalidade bruta e explicar o seu papel como um indicador global</w:t>
            </w:r>
          </w:p>
          <w:p w14:paraId="07FE8D39" w14:textId="68929347" w:rsidR="007217EB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Aplicar a Lista de Verificação para </w:t>
            </w:r>
            <w:r w:rsidR="001B5083">
              <w:t xml:space="preserve">a </w:t>
            </w:r>
            <w:r>
              <w:t xml:space="preserve">Avaliação de Saúde como </w:t>
            </w:r>
            <w:r w:rsidR="009A1C6E">
              <w:t xml:space="preserve">uma lista </w:t>
            </w:r>
            <w:r>
              <w:t>gen</w:t>
            </w:r>
            <w:r w:rsidR="009A1C6E">
              <w:t>érica</w:t>
            </w:r>
            <w:r w:rsidR="001B5083">
              <w:t>,</w:t>
            </w:r>
            <w:r>
              <w:t xml:space="preserve"> para destacar possíveis lacunas nos dados de avaliação</w:t>
            </w:r>
            <w:r w:rsidR="009A1C6E">
              <w:t xml:space="preserve"> como </w:t>
            </w:r>
            <w:r>
              <w:t>exemplo de resposta em matéria de saúde</w:t>
            </w:r>
          </w:p>
          <w:p w14:paraId="3378B49A" w14:textId="2527EEBD" w:rsidR="00171E55" w:rsidRPr="009A1C6E" w:rsidRDefault="00171E55" w:rsidP="001B5083">
            <w:pPr>
              <w:pStyle w:val="ListParagraph"/>
              <w:ind w:left="791" w:right="183"/>
            </w:pPr>
          </w:p>
        </w:tc>
      </w:tr>
      <w:tr w:rsidR="007217EB" w:rsidRPr="00A51872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6B6D3783" w:rsidR="007217EB" w:rsidRPr="00A51872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1BFFC5E0" w:rsidR="007217EB" w:rsidRPr="00A51872" w:rsidRDefault="007217EB" w:rsidP="007217EB">
            <w:r>
              <w:t xml:space="preserve">Há várias mensagens-chave da sessão que deve destacar. O objetivo é que os participantes sejam capazes de </w:t>
            </w:r>
            <w:r w:rsidR="009A1C6E">
              <w:t>interiorizar</w:t>
            </w:r>
            <w:r>
              <w:t xml:space="preserve"> e reafirmar estas mensagens-chave com os colegas</w:t>
            </w:r>
            <w:r w:rsidR="001B5083">
              <w:t>,</w:t>
            </w:r>
            <w:r>
              <w:t xml:space="preserve"> após a formação.</w:t>
            </w:r>
          </w:p>
          <w:p w14:paraId="5D3B85AD" w14:textId="24BAFA08" w:rsidR="001E6E02" w:rsidRPr="001E6E02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orientação geral e os objetivos de um programa de resposta humanitária em matéria de saúde são o controlo do excesso de morbi</w:t>
            </w:r>
            <w:r w:rsidR="001B5083">
              <w:t>lidade</w:t>
            </w:r>
            <w:r>
              <w:t xml:space="preserve"> e mortalidade.</w:t>
            </w:r>
          </w:p>
          <w:p w14:paraId="4F8428B2" w14:textId="36255E31" w:rsidR="001E6E02" w:rsidRPr="001E6E02" w:rsidRDefault="001B5083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Este controlo </w:t>
            </w:r>
            <w:r w:rsidR="001E6E02">
              <w:t>é feito tanto através d</w:t>
            </w:r>
            <w:r>
              <w:t>a</w:t>
            </w:r>
            <w:r w:rsidR="001E6E02">
              <w:t xml:space="preserve"> assistência a casos de trauma como através de uma abordagem pr</w:t>
            </w:r>
            <w:r w:rsidR="000E411F">
              <w:t>o</w:t>
            </w:r>
            <w:r w:rsidR="001E6E02">
              <w:t>ativa da saúde pública.</w:t>
            </w:r>
          </w:p>
          <w:p w14:paraId="1C1A0F41" w14:textId="3E56EBBB" w:rsidR="001E6E02" w:rsidRPr="001E6E02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As normas sanitárias abrangem uma vasta gama de serviços e especialidades, em grande medida no domínio dos profissionais de saúde. Contudo, a dependência dos resultados de saúde do cumprimento das normas de WASH, Abrigo e Alimentação são também fundamentais para alcançar resultados de saúde. </w:t>
            </w:r>
            <w:r>
              <w:rPr>
                <w:b/>
              </w:rPr>
              <w:t>É melhor prevenir do que remediar.</w:t>
            </w:r>
          </w:p>
          <w:p w14:paraId="736FDAC0" w14:textId="77777777" w:rsidR="003329CB" w:rsidRDefault="001E6E02" w:rsidP="001E6E0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lastRenderedPageBreak/>
              <w:t>As avaliações da saúde, incluindo a avaliação dos serviços disponíveis e da qualidade, são fundamentais para uma boa programação da resposta em matéria de saúde.</w:t>
            </w:r>
          </w:p>
          <w:p w14:paraId="3944D94B" w14:textId="4DE8B4E0" w:rsidR="00171E55" w:rsidRPr="00E40A7E" w:rsidRDefault="00171E55" w:rsidP="00171E55">
            <w:pPr>
              <w:pStyle w:val="ListParagraph"/>
              <w:ind w:left="791" w:right="183"/>
            </w:pPr>
          </w:p>
        </w:tc>
      </w:tr>
    </w:tbl>
    <w:p w14:paraId="78C6F335" w14:textId="77777777" w:rsidR="00EA69C0" w:rsidRPr="00A51872" w:rsidRDefault="00EA69C0">
      <w:r>
        <w:lastRenderedPageBreak/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A51872" w14:paraId="36E718FB" w14:textId="77777777" w:rsidTr="009573E6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7EB2C452" w:rsidR="00FF45EA" w:rsidRPr="00A51872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 (esta é uma sessão rápida)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A51872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A51872" w14:paraId="1FFB11B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6EB6F719" w:rsidR="00FF45EA" w:rsidRPr="001E6E02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– apresentação (diapositivos 1 e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0758F4FF" w:rsidR="00FF45EA" w:rsidRPr="00A51872" w:rsidRDefault="00CB6445" w:rsidP="009573E6">
            <w:r>
              <w:t>5 min</w:t>
            </w:r>
          </w:p>
        </w:tc>
      </w:tr>
      <w:tr w:rsidR="00346CC2" w:rsidRPr="00A51872" w14:paraId="471B0E28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13C" w14:textId="22AB3411" w:rsidR="00346CC2" w:rsidRPr="001E6E02" w:rsidRDefault="006E529B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Objetivos e resumo da programação d</w:t>
            </w:r>
            <w:r w:rsidR="000E411F">
              <w:t>e</w:t>
            </w:r>
            <w:r>
              <w:t xml:space="preserve"> saúde - apresentação </w:t>
            </w:r>
            <w:r w:rsidR="009A1C6E">
              <w:t xml:space="preserve">em </w:t>
            </w:r>
            <w:r>
              <w:t xml:space="preserve">PowerPoint com debate facilitado e atividades individuais (3–8)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EA" w14:textId="77D1D396" w:rsidR="00346CC2" w:rsidRPr="00A51872" w:rsidRDefault="00EA69C0" w:rsidP="009573E6">
            <w:r>
              <w:t>15 min</w:t>
            </w:r>
          </w:p>
        </w:tc>
      </w:tr>
      <w:tr w:rsidR="00EA69C0" w:rsidRPr="00A51872" w14:paraId="7617E98A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8640" w14:textId="05FC37A4" w:rsidR="00EA69C0" w:rsidRPr="001E6E02" w:rsidRDefault="00EA69C0" w:rsidP="00EA69C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 xml:space="preserve">Revisão das normas sanitárias da Esfera - apresentação </w:t>
            </w:r>
            <w:r w:rsidR="009A1C6E">
              <w:t xml:space="preserve">em </w:t>
            </w:r>
            <w:r>
              <w:t xml:space="preserve">PowerPoint com debate facilitado e atividades individuais (9–20)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02C" w14:textId="6BD0B056" w:rsidR="00EA69C0" w:rsidRPr="00A51872" w:rsidRDefault="00EA69C0" w:rsidP="00EA69C0">
            <w:r>
              <w:t>30 min</w:t>
            </w:r>
          </w:p>
        </w:tc>
      </w:tr>
      <w:tr w:rsidR="00EA69C0" w:rsidRPr="00A51872" w14:paraId="66A8FEEB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F156" w14:textId="6010285C" w:rsidR="00EA69C0" w:rsidRPr="001E6E02" w:rsidRDefault="00EA69C0" w:rsidP="00EA69C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 xml:space="preserve">Estudo de caso baseado </w:t>
            </w:r>
            <w:r w:rsidR="000E411F">
              <w:t>num</w:t>
            </w:r>
            <w:r>
              <w:t xml:space="preserve"> vídeo – exercício de avaliação da saúde (21–24)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5434" w14:textId="22BE422C" w:rsidR="00EA69C0" w:rsidRPr="00A51872" w:rsidRDefault="00EA69C0" w:rsidP="00EA69C0">
            <w:r>
              <w:t>35 min</w:t>
            </w:r>
          </w:p>
        </w:tc>
      </w:tr>
      <w:tr w:rsidR="00EA69C0" w:rsidRPr="00A51872" w14:paraId="25174E30" w14:textId="77777777" w:rsidTr="009573E6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7C4" w14:textId="0538E5EB" w:rsidR="00EA69C0" w:rsidRPr="001E6E02" w:rsidRDefault="00EA69C0" w:rsidP="00EA69C0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Resumo e conclusão (25 e 26)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7B6" w14:textId="0108AE53" w:rsidR="00EA69C0" w:rsidRPr="00A51872" w:rsidRDefault="00EA69C0" w:rsidP="00EA69C0">
            <w:r>
              <w:t>5 min</w:t>
            </w:r>
          </w:p>
        </w:tc>
      </w:tr>
      <w:tr w:rsidR="00EA69C0" w:rsidRPr="00A51872" w14:paraId="69D17258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597D43E0" w:rsidR="00EA69C0" w:rsidRPr="00A51872" w:rsidRDefault="00EA69C0" w:rsidP="00EA69C0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e preparativos de que necessitará</w:t>
            </w:r>
          </w:p>
          <w:p w14:paraId="067EEA21" w14:textId="6B5737E8" w:rsidR="00EA69C0" w:rsidRPr="00171E55" w:rsidRDefault="00EA69C0" w:rsidP="00EA69C0">
            <w:pPr>
              <w:pStyle w:val="ListParagraph"/>
              <w:numPr>
                <w:ilvl w:val="0"/>
                <w:numId w:val="22"/>
              </w:numPr>
            </w:pPr>
            <w:r>
              <w:t xml:space="preserve">Nenhum, com exceção do ficheiro de apresentação </w:t>
            </w:r>
            <w:r w:rsidR="00CB4410">
              <w:t xml:space="preserve">em </w:t>
            </w:r>
            <w:r>
              <w:t>PowerPoint –</w:t>
            </w:r>
            <w:r>
              <w:rPr>
                <w:b/>
              </w:rPr>
              <w:t xml:space="preserve"> </w:t>
            </w:r>
            <w:r w:rsidR="000E411F" w:rsidRPr="000E411F">
              <w:rPr>
                <w:b/>
              </w:rPr>
              <w:t>STP 10 health.pptx</w:t>
            </w:r>
            <w:r w:rsidR="000E411F">
              <w:rPr>
                <w:b/>
              </w:rPr>
              <w:t xml:space="preserve"> (</w:t>
            </w:r>
            <w:r>
              <w:rPr>
                <w:b/>
              </w:rPr>
              <w:t>saúde</w:t>
            </w:r>
            <w:r w:rsidR="000E411F">
              <w:rPr>
                <w:b/>
              </w:rPr>
              <w:t>)</w:t>
            </w:r>
          </w:p>
          <w:p w14:paraId="30C0A6F2" w14:textId="5690A7B7" w:rsidR="00171E55" w:rsidRPr="00E40A7E" w:rsidRDefault="00171E55" w:rsidP="00171E55">
            <w:pPr>
              <w:pStyle w:val="ListParagraph"/>
            </w:pPr>
          </w:p>
        </w:tc>
      </w:tr>
      <w:tr w:rsidR="001E6E02" w:rsidRPr="00A51872" w14:paraId="3334DB3A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BCF8" w14:textId="77777777" w:rsidR="000E411F" w:rsidRDefault="000E411F" w:rsidP="000E411F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582E6630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0713262B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04ABF43A" w14:textId="77777777" w:rsidR="000E411F" w:rsidRDefault="000E411F" w:rsidP="000E411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dos participantes de realizarem uma atividade ou de executarem uma competência. O ensino é mais eficaz através da prática, da aplicação direta e da repetição.</w:t>
            </w:r>
          </w:p>
          <w:p w14:paraId="53C4F5D0" w14:textId="77777777" w:rsidR="000E411F" w:rsidRDefault="000E411F" w:rsidP="000E411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de explicarem os conteúdos a outra pessoa.</w:t>
            </w:r>
          </w:p>
          <w:p w14:paraId="461714DD" w14:textId="77777777" w:rsidR="000E411F" w:rsidRDefault="000E411F" w:rsidP="000E411F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encorajar, convencer e provocar, na medida do possível, a adesão do grupo.</w:t>
            </w:r>
          </w:p>
          <w:p w14:paraId="7E883620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4A9173A5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490E4AE5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estarão muito mais interessados e aprenderão mais fazendo do que apenas ouvindo instruções de como proceder.</w:t>
            </w:r>
          </w:p>
          <w:p w14:paraId="445C17BF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1C07CB16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7206D684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lastRenderedPageBreak/>
              <w:t>Tenha um plano B (e C) para superar desafios inesperados (falha de energia, maior ou menor número de participantes do que o planeado, mudanças de sala de última hora, etc.)</w:t>
            </w:r>
          </w:p>
          <w:p w14:paraId="0B6089C1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debate necessários. Seis grupos de quatro pessoas com cada pessoa a falar durante 2 minutos = 48 minutos, se todos falarem! Demoraria 24 minutos se um representante falasse por cada grupo durante 4 minutos.</w:t>
            </w:r>
          </w:p>
          <w:p w14:paraId="11917813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14B824E8" w14:textId="77777777" w:rsidR="000E411F" w:rsidRPr="00DA42E4" w:rsidRDefault="000E411F" w:rsidP="000E411F">
            <w:pPr>
              <w:rPr>
                <w:b/>
              </w:rPr>
            </w:pPr>
          </w:p>
          <w:p w14:paraId="776C8E00" w14:textId="77777777" w:rsidR="000E411F" w:rsidRDefault="000E411F" w:rsidP="000E411F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1A909F45" w14:textId="77777777" w:rsidR="000E411F" w:rsidRDefault="000E411F" w:rsidP="000E411F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393AEAEA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2452EC79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1C46B327" w14:textId="77777777" w:rsidR="000E411F" w:rsidRPr="00DA42E4" w:rsidRDefault="000E411F" w:rsidP="000E411F">
            <w:pPr>
              <w:spacing w:line="252" w:lineRule="auto"/>
              <w:rPr>
                <w:bCs/>
              </w:rPr>
            </w:pPr>
          </w:p>
          <w:p w14:paraId="5F53A6CC" w14:textId="77777777" w:rsidR="000E411F" w:rsidRDefault="000E411F" w:rsidP="000E411F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2732D2D4" w14:textId="77777777" w:rsidR="000E411F" w:rsidRDefault="000E411F" w:rsidP="000E411F">
            <w:pPr>
              <w:pStyle w:val="ListParagraph"/>
              <w:numPr>
                <w:ilvl w:val="0"/>
                <w:numId w:val="26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63CEC603" w14:textId="77777777" w:rsidR="000E411F" w:rsidRPr="00DA42E4" w:rsidRDefault="000E411F" w:rsidP="000E411F">
            <w:pPr>
              <w:spacing w:line="252" w:lineRule="auto"/>
              <w:rPr>
                <w:bCs/>
              </w:rPr>
            </w:pPr>
          </w:p>
          <w:p w14:paraId="0E8F475F" w14:textId="77777777" w:rsidR="000E411F" w:rsidRDefault="000E411F" w:rsidP="000E411F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29B1B8AB" w14:textId="77777777" w:rsidR="000E411F" w:rsidRDefault="000E411F" w:rsidP="000E411F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0169D3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.docx.</w:t>
            </w:r>
            <w:r>
              <w:t xml:space="preserve">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77777777" w:rsidR="001E6E02" w:rsidRPr="00E40A7E" w:rsidRDefault="001E6E02" w:rsidP="001E6E02">
            <w:pPr>
              <w:rPr>
                <w:b/>
              </w:rPr>
            </w:pPr>
          </w:p>
        </w:tc>
      </w:tr>
      <w:tr w:rsidR="00EA69C0" w:rsidRPr="00A51872" w14:paraId="44BDA7B2" w14:textId="77777777" w:rsidTr="009573E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1F7D" w14:textId="77777777" w:rsidR="000E411F" w:rsidRPr="0031306E" w:rsidRDefault="000E411F" w:rsidP="000E411F">
            <w:pPr>
              <w:rPr>
                <w:b/>
              </w:rPr>
            </w:pPr>
            <w:r w:rsidRPr="00192A3B">
              <w:rPr>
                <w:b/>
                <w:bCs/>
              </w:rPr>
              <w:lastRenderedPageBreak/>
              <w:t>Sugestões</w:t>
            </w:r>
            <w:r>
              <w:rPr>
                <w:b/>
              </w:rPr>
              <w:t xml:space="preserve"> para alteração local</w:t>
            </w:r>
          </w:p>
          <w:p w14:paraId="76F6AFDC" w14:textId="04E1E1E8" w:rsidR="000E411F" w:rsidRDefault="000E411F" w:rsidP="000E411F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a equipamento para apresentar diapositivos em PowerPoint, imprima os diapositivos em papel A3 com antecedência e realize a sessão como um evento ao vivo.</w:t>
            </w:r>
          </w:p>
          <w:p w14:paraId="18DFA383" w14:textId="23E7A54B" w:rsidR="00EA69C0" w:rsidRPr="00171E55" w:rsidRDefault="00EA69C0" w:rsidP="00EA69C0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 xml:space="preserve">Se não conseguir reproduzir o vídeo incluído, não o apresente e pergunte se existem exemplos específicos de um programa de saúde no país em que está a ministrar a </w:t>
            </w:r>
            <w:r>
              <w:lastRenderedPageBreak/>
              <w:t>formação. Pe</w:t>
            </w:r>
            <w:r w:rsidR="00CB4410">
              <w:t>ça</w:t>
            </w:r>
            <w:r>
              <w:t xml:space="preserve"> aos que estão familiarizados com o programa que o apresentem como um micro-estudo de caso e depois peça aos outros participantes que consultem a lista de verificação para avaliação e identifiquem os elementos que serão, muito provavelmente, os mais difíceis de avaliar sobre o projeto apresentado. Tenha em atenção que uma apresentação ao vivo demorará mais tempo do que o vídeo, pelo que terá de ajustar a duração da sessão em conformidade.</w:t>
            </w:r>
          </w:p>
          <w:p w14:paraId="15504D99" w14:textId="3B6E7DDF" w:rsidR="00171E55" w:rsidRPr="00E40A7E" w:rsidRDefault="00171E55" w:rsidP="00171E55">
            <w:pPr>
              <w:pStyle w:val="ListParagraph"/>
              <w:rPr>
                <w:b/>
              </w:rPr>
            </w:pPr>
          </w:p>
        </w:tc>
      </w:tr>
    </w:tbl>
    <w:p w14:paraId="594D5E75" w14:textId="77777777" w:rsidR="00232CFB" w:rsidRPr="00E40A7E" w:rsidRDefault="00232CFB" w:rsidP="00FF45EA"/>
    <w:sectPr w:rsidR="00232CFB" w:rsidRPr="00E40A7E" w:rsidSect="00C72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9DFF" w14:textId="77777777" w:rsidR="00CD501B" w:rsidRDefault="00CD501B" w:rsidP="009F2306">
      <w:pPr>
        <w:spacing w:after="0" w:line="240" w:lineRule="auto"/>
      </w:pPr>
      <w:r>
        <w:separator/>
      </w:r>
    </w:p>
  </w:endnote>
  <w:endnote w:type="continuationSeparator" w:id="0">
    <w:p w14:paraId="10867671" w14:textId="77777777" w:rsidR="00CD501B" w:rsidRDefault="00CD501B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423D5" w14:textId="77777777" w:rsidR="002612B5" w:rsidRDefault="00261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B1BA" w14:textId="77777777" w:rsidR="002612B5" w:rsidRDefault="0026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8195" w14:textId="77777777" w:rsidR="00CD501B" w:rsidRDefault="00CD501B" w:rsidP="009F2306">
      <w:pPr>
        <w:spacing w:after="0" w:line="240" w:lineRule="auto"/>
      </w:pPr>
      <w:r>
        <w:separator/>
      </w:r>
    </w:p>
  </w:footnote>
  <w:footnote w:type="continuationSeparator" w:id="0">
    <w:p w14:paraId="2180C860" w14:textId="77777777" w:rsidR="00CD501B" w:rsidRDefault="00CD501B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7BAF" w14:textId="77777777" w:rsidR="002612B5" w:rsidRDefault="00261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6B0CD25E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727B6ABC">
          <wp:simplePos x="0" y="0"/>
          <wp:positionH relativeFrom="column">
            <wp:posOffset>-405765</wp:posOffset>
          </wp:positionH>
          <wp:positionV relativeFrom="paragraph">
            <wp:posOffset>-92075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10 – Saúde</w:t>
    </w:r>
  </w:p>
  <w:p w14:paraId="04454F13" w14:textId="77777777" w:rsidR="004650C3" w:rsidRDefault="00465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E7E4" w14:textId="77777777" w:rsidR="002612B5" w:rsidRDefault="00261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A3971"/>
    <w:multiLevelType w:val="hybridMultilevel"/>
    <w:tmpl w:val="ADCE2A90"/>
    <w:lvl w:ilvl="0" w:tplc="29EA7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962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C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80F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188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45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826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A0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468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067AAD"/>
    <w:multiLevelType w:val="hybridMultilevel"/>
    <w:tmpl w:val="4976C994"/>
    <w:lvl w:ilvl="0" w:tplc="BAF4A8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983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8AC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8D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0E1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8C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5E9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EEF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A03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4" w15:restartNumberingAfterBreak="0">
    <w:nsid w:val="419375B1"/>
    <w:multiLevelType w:val="hybridMultilevel"/>
    <w:tmpl w:val="AB80CECE"/>
    <w:lvl w:ilvl="0" w:tplc="5FEC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8B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AE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E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AC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05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AE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8E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61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7D6B68"/>
    <w:multiLevelType w:val="hybridMultilevel"/>
    <w:tmpl w:val="97BEE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7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BD87F89"/>
    <w:multiLevelType w:val="hybridMultilevel"/>
    <w:tmpl w:val="178EE9E6"/>
    <w:lvl w:ilvl="0" w:tplc="E28EE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46D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6E5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FA0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C4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0A2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E6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09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5AA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54B0641"/>
    <w:multiLevelType w:val="hybridMultilevel"/>
    <w:tmpl w:val="2858298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7"/>
  </w:num>
  <w:num w:numId="6">
    <w:abstractNumId w:val="8"/>
  </w:num>
  <w:num w:numId="7">
    <w:abstractNumId w:val="5"/>
  </w:num>
  <w:num w:numId="8">
    <w:abstractNumId w:val="16"/>
  </w:num>
  <w:num w:numId="9">
    <w:abstractNumId w:val="23"/>
  </w:num>
  <w:num w:numId="10">
    <w:abstractNumId w:val="19"/>
  </w:num>
  <w:num w:numId="11">
    <w:abstractNumId w:val="20"/>
  </w:num>
  <w:num w:numId="12">
    <w:abstractNumId w:val="20"/>
  </w:num>
  <w:num w:numId="13">
    <w:abstractNumId w:val="3"/>
  </w:num>
  <w:num w:numId="14">
    <w:abstractNumId w:val="10"/>
  </w:num>
  <w:num w:numId="15">
    <w:abstractNumId w:val="7"/>
  </w:num>
  <w:num w:numId="16">
    <w:abstractNumId w:val="13"/>
  </w:num>
  <w:num w:numId="17">
    <w:abstractNumId w:val="24"/>
  </w:num>
  <w:num w:numId="18">
    <w:abstractNumId w:val="6"/>
  </w:num>
  <w:num w:numId="19">
    <w:abstractNumId w:val="0"/>
  </w:num>
  <w:num w:numId="20">
    <w:abstractNumId w:val="11"/>
  </w:num>
  <w:num w:numId="21">
    <w:abstractNumId w:val="14"/>
  </w:num>
  <w:num w:numId="22">
    <w:abstractNumId w:val="15"/>
  </w:num>
  <w:num w:numId="23">
    <w:abstractNumId w:val="21"/>
  </w:num>
  <w:num w:numId="24">
    <w:abstractNumId w:val="9"/>
  </w:num>
  <w:num w:numId="25">
    <w:abstractNumId w:val="12"/>
  </w:num>
  <w:num w:numId="26">
    <w:abstractNumId w:val="18"/>
  </w:num>
  <w:num w:numId="27">
    <w:abstractNumId w:val="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201C7"/>
    <w:rsid w:val="00070156"/>
    <w:rsid w:val="000732A7"/>
    <w:rsid w:val="00084306"/>
    <w:rsid w:val="000A73A1"/>
    <w:rsid w:val="000B71BE"/>
    <w:rsid w:val="000E411F"/>
    <w:rsid w:val="001011C2"/>
    <w:rsid w:val="00116509"/>
    <w:rsid w:val="00134202"/>
    <w:rsid w:val="00136435"/>
    <w:rsid w:val="001368CD"/>
    <w:rsid w:val="001374BF"/>
    <w:rsid w:val="00171611"/>
    <w:rsid w:val="00171E55"/>
    <w:rsid w:val="001833BC"/>
    <w:rsid w:val="00184DC6"/>
    <w:rsid w:val="00193FCC"/>
    <w:rsid w:val="001B5083"/>
    <w:rsid w:val="001C4533"/>
    <w:rsid w:val="001C6EBD"/>
    <w:rsid w:val="001C73F6"/>
    <w:rsid w:val="001C7E40"/>
    <w:rsid w:val="001D6CEF"/>
    <w:rsid w:val="001E6E02"/>
    <w:rsid w:val="002143EF"/>
    <w:rsid w:val="00232CFB"/>
    <w:rsid w:val="00243E07"/>
    <w:rsid w:val="00244E9D"/>
    <w:rsid w:val="002612B5"/>
    <w:rsid w:val="0026204F"/>
    <w:rsid w:val="00265A9F"/>
    <w:rsid w:val="00297F18"/>
    <w:rsid w:val="002A315D"/>
    <w:rsid w:val="002A5469"/>
    <w:rsid w:val="002B1DB4"/>
    <w:rsid w:val="002B21A7"/>
    <w:rsid w:val="002B5158"/>
    <w:rsid w:val="002F12DB"/>
    <w:rsid w:val="002F1DDC"/>
    <w:rsid w:val="00306616"/>
    <w:rsid w:val="00330290"/>
    <w:rsid w:val="003329CB"/>
    <w:rsid w:val="00341296"/>
    <w:rsid w:val="00346CC2"/>
    <w:rsid w:val="00350A61"/>
    <w:rsid w:val="0035630E"/>
    <w:rsid w:val="00371DD8"/>
    <w:rsid w:val="00375A6D"/>
    <w:rsid w:val="003C40EB"/>
    <w:rsid w:val="003E0FFC"/>
    <w:rsid w:val="003E6061"/>
    <w:rsid w:val="003F3F2E"/>
    <w:rsid w:val="00404854"/>
    <w:rsid w:val="00420401"/>
    <w:rsid w:val="0042225C"/>
    <w:rsid w:val="00443798"/>
    <w:rsid w:val="004603FD"/>
    <w:rsid w:val="004650C3"/>
    <w:rsid w:val="00470F0F"/>
    <w:rsid w:val="0049200D"/>
    <w:rsid w:val="00494258"/>
    <w:rsid w:val="004A6528"/>
    <w:rsid w:val="004B5F46"/>
    <w:rsid w:val="005045C4"/>
    <w:rsid w:val="00525093"/>
    <w:rsid w:val="005269DD"/>
    <w:rsid w:val="00537753"/>
    <w:rsid w:val="00541B76"/>
    <w:rsid w:val="00584054"/>
    <w:rsid w:val="00597472"/>
    <w:rsid w:val="005C360C"/>
    <w:rsid w:val="00610958"/>
    <w:rsid w:val="00634BF2"/>
    <w:rsid w:val="00685F40"/>
    <w:rsid w:val="006A14CD"/>
    <w:rsid w:val="006D58CF"/>
    <w:rsid w:val="006E529B"/>
    <w:rsid w:val="006E6F05"/>
    <w:rsid w:val="006F6E15"/>
    <w:rsid w:val="007000BF"/>
    <w:rsid w:val="007150FE"/>
    <w:rsid w:val="007217EB"/>
    <w:rsid w:val="007379D9"/>
    <w:rsid w:val="00756AE5"/>
    <w:rsid w:val="00767BF0"/>
    <w:rsid w:val="008139CB"/>
    <w:rsid w:val="008376A3"/>
    <w:rsid w:val="008618BA"/>
    <w:rsid w:val="00874633"/>
    <w:rsid w:val="00880FA7"/>
    <w:rsid w:val="008919CC"/>
    <w:rsid w:val="008B79E7"/>
    <w:rsid w:val="008C519C"/>
    <w:rsid w:val="008D2457"/>
    <w:rsid w:val="008D6174"/>
    <w:rsid w:val="008E4AEF"/>
    <w:rsid w:val="008E4CD4"/>
    <w:rsid w:val="008F4154"/>
    <w:rsid w:val="00906940"/>
    <w:rsid w:val="009938DD"/>
    <w:rsid w:val="00993D8C"/>
    <w:rsid w:val="009A1C6E"/>
    <w:rsid w:val="009F1AC6"/>
    <w:rsid w:val="009F2306"/>
    <w:rsid w:val="00A0170B"/>
    <w:rsid w:val="00A07B8C"/>
    <w:rsid w:val="00A249F7"/>
    <w:rsid w:val="00A317DB"/>
    <w:rsid w:val="00A353A7"/>
    <w:rsid w:val="00A438CE"/>
    <w:rsid w:val="00A46EE1"/>
    <w:rsid w:val="00A510E2"/>
    <w:rsid w:val="00A51872"/>
    <w:rsid w:val="00A539E2"/>
    <w:rsid w:val="00A603BE"/>
    <w:rsid w:val="00A734F6"/>
    <w:rsid w:val="00A76CED"/>
    <w:rsid w:val="00A8524D"/>
    <w:rsid w:val="00A8788C"/>
    <w:rsid w:val="00AA3F51"/>
    <w:rsid w:val="00AA699A"/>
    <w:rsid w:val="00AB4AC5"/>
    <w:rsid w:val="00AB63E3"/>
    <w:rsid w:val="00AE320C"/>
    <w:rsid w:val="00AF1D1A"/>
    <w:rsid w:val="00B24A55"/>
    <w:rsid w:val="00B31A5E"/>
    <w:rsid w:val="00B40893"/>
    <w:rsid w:val="00B427CD"/>
    <w:rsid w:val="00B55BE2"/>
    <w:rsid w:val="00B65619"/>
    <w:rsid w:val="00B67F34"/>
    <w:rsid w:val="00B722BC"/>
    <w:rsid w:val="00B9610E"/>
    <w:rsid w:val="00BA3353"/>
    <w:rsid w:val="00BA3873"/>
    <w:rsid w:val="00BB0451"/>
    <w:rsid w:val="00BD7BF5"/>
    <w:rsid w:val="00BE5A22"/>
    <w:rsid w:val="00C24B0A"/>
    <w:rsid w:val="00C26C9C"/>
    <w:rsid w:val="00C546A1"/>
    <w:rsid w:val="00C72BB7"/>
    <w:rsid w:val="00C815F9"/>
    <w:rsid w:val="00C82511"/>
    <w:rsid w:val="00C86AF9"/>
    <w:rsid w:val="00C946DE"/>
    <w:rsid w:val="00CB4410"/>
    <w:rsid w:val="00CB6445"/>
    <w:rsid w:val="00CC09F1"/>
    <w:rsid w:val="00CD501B"/>
    <w:rsid w:val="00CD7BEB"/>
    <w:rsid w:val="00D06489"/>
    <w:rsid w:val="00D072E1"/>
    <w:rsid w:val="00D17EEC"/>
    <w:rsid w:val="00D21598"/>
    <w:rsid w:val="00D6040B"/>
    <w:rsid w:val="00D607AA"/>
    <w:rsid w:val="00D62F8F"/>
    <w:rsid w:val="00DA1FE3"/>
    <w:rsid w:val="00DC018E"/>
    <w:rsid w:val="00DF4692"/>
    <w:rsid w:val="00DF6FB6"/>
    <w:rsid w:val="00E100DA"/>
    <w:rsid w:val="00E2734E"/>
    <w:rsid w:val="00E3208F"/>
    <w:rsid w:val="00E36C50"/>
    <w:rsid w:val="00E40A7E"/>
    <w:rsid w:val="00E71220"/>
    <w:rsid w:val="00E76CA3"/>
    <w:rsid w:val="00EA20BE"/>
    <w:rsid w:val="00EA69C0"/>
    <w:rsid w:val="00ED4765"/>
    <w:rsid w:val="00ED5281"/>
    <w:rsid w:val="00F0412D"/>
    <w:rsid w:val="00F0497B"/>
    <w:rsid w:val="00F1200F"/>
    <w:rsid w:val="00F31AE6"/>
    <w:rsid w:val="00F67832"/>
    <w:rsid w:val="00F731C4"/>
    <w:rsid w:val="00F82440"/>
    <w:rsid w:val="00F8536E"/>
    <w:rsid w:val="00F92881"/>
    <w:rsid w:val="00FC19EA"/>
    <w:rsid w:val="00FC4994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autoRedefine/>
    <w:qFormat/>
    <w:rsid w:val="001E6E02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69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3F6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1C73F6"/>
  </w:style>
  <w:style w:type="character" w:customStyle="1" w:styleId="Heading1Char">
    <w:name w:val="Heading 1 Char"/>
    <w:basedOn w:val="DefaultParagraphFont"/>
    <w:link w:val="Heading1"/>
    <w:rsid w:val="001E6E02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94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72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4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37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620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29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68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18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437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549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097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00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8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60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</c:v>
                </c:pt>
                <c:pt idx="1">
                  <c:v>80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C43F2-0B1D-46D7-A95C-A58888700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1AE64-8460-4834-9052-76A22CF68063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9E7557FB-257E-4D94-937A-A4C560C50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1461</Words>
  <Characters>8246</Characters>
  <Application>Microsoft Office Word</Application>
  <DocSecurity>0</DocSecurity>
  <Lines>144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10 TN Health</vt:lpstr>
    </vt:vector>
  </TitlesOfParts>
  <Manager>LM</Manager>
  <Company>SPHERE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10 TN Health</dc:title>
  <dc:subject>tradução de en-pt</dc:subject>
  <dc:creator>Jim Good;Luísa Merki</dc:creator>
  <cp:keywords>2021107</cp:keywords>
  <dc:description/>
  <cp:lastModifiedBy>Luisa</cp:lastModifiedBy>
  <cp:revision>13</cp:revision>
  <dcterms:created xsi:type="dcterms:W3CDTF">2019-04-19T05:56:00Z</dcterms:created>
  <dcterms:modified xsi:type="dcterms:W3CDTF">2021-07-10T22:08:00Z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6884400</vt:r8>
  </property>
</Properties>
</file>